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3D" w:rsidRPr="00770050" w:rsidRDefault="0018083D" w:rsidP="0018083D">
      <w:pPr>
        <w:jc w:val="center"/>
        <w:rPr>
          <w:b/>
        </w:rPr>
      </w:pPr>
      <w:r w:rsidRPr="00770050">
        <w:rPr>
          <w:b/>
        </w:rPr>
        <w:t>Совет   муниципального образования «</w:t>
      </w:r>
      <w:proofErr w:type="spellStart"/>
      <w:r w:rsidRPr="00770050">
        <w:rPr>
          <w:b/>
        </w:rPr>
        <w:t>Малиновское</w:t>
      </w:r>
      <w:proofErr w:type="spellEnd"/>
      <w:r w:rsidRPr="00770050">
        <w:rPr>
          <w:b/>
        </w:rPr>
        <w:t xml:space="preserve"> сельское поселение»</w:t>
      </w:r>
    </w:p>
    <w:p w:rsidR="0018083D" w:rsidRPr="00770050" w:rsidRDefault="0018083D" w:rsidP="0018083D">
      <w:pPr>
        <w:jc w:val="center"/>
        <w:rPr>
          <w:b/>
          <w:sz w:val="28"/>
        </w:rPr>
      </w:pPr>
    </w:p>
    <w:p w:rsidR="0018083D" w:rsidRPr="00770050" w:rsidRDefault="0018083D" w:rsidP="0018083D">
      <w:pPr>
        <w:rPr>
          <w:b/>
        </w:rPr>
      </w:pPr>
      <w:r w:rsidRPr="00770050">
        <w:rPr>
          <w:sz w:val="28"/>
        </w:rPr>
        <w:t xml:space="preserve">                                                </w:t>
      </w:r>
      <w:r w:rsidRPr="00770050">
        <w:rPr>
          <w:b/>
          <w:sz w:val="28"/>
        </w:rPr>
        <w:t xml:space="preserve">РЕШЕНИЕ </w:t>
      </w:r>
      <w:r w:rsidRPr="00770050">
        <w:rPr>
          <w:b/>
        </w:rPr>
        <w:t xml:space="preserve">   </w:t>
      </w:r>
    </w:p>
    <w:p w:rsidR="0018083D" w:rsidRPr="00770050" w:rsidRDefault="0018083D" w:rsidP="0018083D">
      <w:pPr>
        <w:jc w:val="right"/>
        <w:rPr>
          <w:b/>
        </w:rPr>
      </w:pPr>
    </w:p>
    <w:p w:rsidR="0018083D" w:rsidRPr="00770050" w:rsidRDefault="0018083D" w:rsidP="0018083D">
      <w:pPr>
        <w:jc w:val="center"/>
        <w:rPr>
          <w:b/>
        </w:rPr>
      </w:pPr>
    </w:p>
    <w:p w:rsidR="0018083D" w:rsidRPr="00D76413" w:rsidRDefault="0018083D" w:rsidP="0018083D">
      <w:proofErr w:type="gramStart"/>
      <w:r w:rsidRPr="00770050">
        <w:rPr>
          <w:sz w:val="28"/>
          <w:szCs w:val="28"/>
        </w:rPr>
        <w:t>с</w:t>
      </w:r>
      <w:proofErr w:type="gramEnd"/>
      <w:r w:rsidRPr="00770050">
        <w:rPr>
          <w:sz w:val="28"/>
          <w:szCs w:val="28"/>
        </w:rPr>
        <w:t xml:space="preserve">. </w:t>
      </w:r>
      <w:r w:rsidRPr="00770050">
        <w:t>Малиновка</w:t>
      </w:r>
      <w:r w:rsidRPr="00770050">
        <w:rPr>
          <w:sz w:val="28"/>
          <w:szCs w:val="28"/>
        </w:rPr>
        <w:tab/>
      </w:r>
      <w:r w:rsidRPr="00770050">
        <w:tab/>
      </w:r>
      <w:r w:rsidRPr="00770050">
        <w:tab/>
      </w:r>
      <w:r w:rsidRPr="00770050">
        <w:tab/>
      </w:r>
      <w:r w:rsidRPr="00770050">
        <w:tab/>
      </w:r>
      <w:r w:rsidRPr="00770050">
        <w:tab/>
      </w:r>
      <w:r w:rsidRPr="00770050">
        <w:tab/>
        <w:t xml:space="preserve">          </w:t>
      </w:r>
      <w:r w:rsidRPr="00770050">
        <w:rPr>
          <w:u w:val="single"/>
        </w:rPr>
        <w:t xml:space="preserve">  </w:t>
      </w:r>
      <w:r w:rsidRPr="00D76413">
        <w:rPr>
          <w:u w:val="single"/>
        </w:rPr>
        <w:t>2</w:t>
      </w:r>
      <w:r w:rsidR="00D76413">
        <w:rPr>
          <w:u w:val="single"/>
        </w:rPr>
        <w:t>5</w:t>
      </w:r>
      <w:r w:rsidRPr="00D76413">
        <w:rPr>
          <w:u w:val="single"/>
        </w:rPr>
        <w:t>.</w:t>
      </w:r>
      <w:r w:rsidR="00D76413">
        <w:rPr>
          <w:u w:val="single"/>
        </w:rPr>
        <w:t>0</w:t>
      </w:r>
      <w:r w:rsidRPr="00D76413">
        <w:rPr>
          <w:u w:val="single"/>
        </w:rPr>
        <w:t>2.202</w:t>
      </w:r>
      <w:r w:rsidR="00D76413">
        <w:rPr>
          <w:u w:val="single"/>
        </w:rPr>
        <w:t>2</w:t>
      </w:r>
      <w:r w:rsidRPr="00D76413">
        <w:rPr>
          <w:u w:val="single"/>
        </w:rPr>
        <w:t xml:space="preserve">   № 3</w:t>
      </w:r>
      <w:r w:rsidRPr="00D76413">
        <w:t>__</w:t>
      </w:r>
    </w:p>
    <w:p w:rsidR="0018083D" w:rsidRPr="00770050" w:rsidRDefault="0018083D" w:rsidP="0018083D">
      <w:r w:rsidRPr="00D76413">
        <w:t xml:space="preserve">                                                                                                                  5</w:t>
      </w:r>
      <w:r w:rsidR="00D76413">
        <w:t>8</w:t>
      </w:r>
      <w:r w:rsidRPr="00D76413">
        <w:t xml:space="preserve"> собрание 4-го созыва</w:t>
      </w:r>
    </w:p>
    <w:p w:rsidR="0018083D" w:rsidRDefault="0018083D" w:rsidP="0018083D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18083D" w:rsidRPr="00F46B89" w:rsidRDefault="0018083D" w:rsidP="0018083D">
      <w:pPr>
        <w:spacing w:line="20" w:lineRule="atLeast"/>
        <w:ind w:right="5669"/>
        <w:jc w:val="both"/>
      </w:pPr>
      <w:r w:rsidRPr="00F46B89">
        <w:t>О</w:t>
      </w:r>
      <w:r>
        <w:t xml:space="preserve"> внесении изменений в решение Совета</w:t>
      </w:r>
      <w:r w:rsidR="00D76413">
        <w:t xml:space="preserve"> </w:t>
      </w:r>
      <w:r>
        <w:t>Малиновско</w:t>
      </w:r>
      <w:r w:rsidR="00D76413">
        <w:t>го</w:t>
      </w:r>
      <w:r>
        <w:t xml:space="preserve"> сельско</w:t>
      </w:r>
      <w:r w:rsidR="00D76413">
        <w:t>го</w:t>
      </w:r>
      <w:r>
        <w:t xml:space="preserve"> поселени</w:t>
      </w:r>
      <w:r w:rsidR="00D76413">
        <w:t>я</w:t>
      </w:r>
      <w:r>
        <w:t xml:space="preserve"> от 24.12.2021 №</w:t>
      </w:r>
      <w:r w:rsidR="00D76413">
        <w:t xml:space="preserve"> </w:t>
      </w:r>
      <w:r>
        <w:t>28 «</w:t>
      </w:r>
      <w:r w:rsidRPr="00C624DA">
        <w:rPr>
          <w:bCs/>
        </w:rPr>
        <w:t>Об утверждении Положения о муниципальном жилищном контроле</w:t>
      </w:r>
      <w:r>
        <w:rPr>
          <w:b/>
        </w:rPr>
        <w:t xml:space="preserve"> </w:t>
      </w:r>
      <w:r w:rsidRPr="00C624DA">
        <w:t>на</w:t>
      </w:r>
      <w:r>
        <w:t xml:space="preserve"> </w:t>
      </w:r>
      <w:r w:rsidRPr="00C624DA">
        <w:t>территории</w:t>
      </w:r>
      <w:r w:rsidRPr="00C624DA">
        <w:rPr>
          <w:b/>
        </w:rPr>
        <w:t xml:space="preserve"> м</w:t>
      </w:r>
      <w:r w:rsidRPr="00C624DA">
        <w:t xml:space="preserve">униципального образования </w:t>
      </w:r>
      <w:r w:rsidRPr="00C624DA">
        <w:rPr>
          <w:b/>
        </w:rPr>
        <w:t>«</w:t>
      </w:r>
      <w:proofErr w:type="spellStart"/>
      <w:r w:rsidRPr="00C624DA">
        <w:t>Малиновское</w:t>
      </w:r>
      <w:proofErr w:type="spellEnd"/>
      <w:r w:rsidRPr="00C624DA">
        <w:t xml:space="preserve"> сельское поселение»</w:t>
      </w:r>
    </w:p>
    <w:p w:rsidR="0018083D" w:rsidRPr="00F46B89" w:rsidRDefault="0018083D" w:rsidP="0018083D">
      <w:pPr>
        <w:pStyle w:val="af1"/>
        <w:tabs>
          <w:tab w:val="clear" w:pos="6804"/>
          <w:tab w:val="left" w:pos="2268"/>
        </w:tabs>
        <w:spacing w:before="0" w:line="20" w:lineRule="atLeast"/>
        <w:rPr>
          <w:szCs w:val="24"/>
        </w:rPr>
      </w:pPr>
    </w:p>
    <w:p w:rsidR="0018083D" w:rsidRPr="00555D09" w:rsidRDefault="0018083D" w:rsidP="0018083D">
      <w:pPr>
        <w:shd w:val="clear" w:color="auto" w:fill="FFFFFF"/>
        <w:rPr>
          <w:b/>
          <w:color w:val="000000" w:themeColor="text1"/>
        </w:rPr>
      </w:pPr>
    </w:p>
    <w:p w:rsidR="0018083D" w:rsidRPr="00ED72AC" w:rsidRDefault="0018083D" w:rsidP="0018083D">
      <w:pPr>
        <w:pStyle w:val="af1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  <w:r w:rsidRPr="00770050">
        <w:rPr>
          <w:color w:val="000000" w:themeColor="text1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</w:t>
      </w:r>
      <w:r>
        <w:rPr>
          <w:color w:val="000000" w:themeColor="text1"/>
        </w:rPr>
        <w:t xml:space="preserve"> Российской Федерации», </w:t>
      </w:r>
      <w:r w:rsidRPr="00ED72AC">
        <w:rPr>
          <w:szCs w:val="24"/>
        </w:rPr>
        <w:t>Уставом Муниципального образования «</w:t>
      </w:r>
      <w:proofErr w:type="spellStart"/>
      <w:r w:rsidRPr="00ED72AC">
        <w:rPr>
          <w:szCs w:val="24"/>
        </w:rPr>
        <w:t>Малиновское</w:t>
      </w:r>
      <w:proofErr w:type="spellEnd"/>
      <w:r w:rsidRPr="00ED72AC">
        <w:rPr>
          <w:szCs w:val="24"/>
        </w:rPr>
        <w:t xml:space="preserve"> сельское поселение»,</w:t>
      </w:r>
    </w:p>
    <w:p w:rsidR="0018083D" w:rsidRPr="00770050" w:rsidRDefault="0018083D" w:rsidP="0018083D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18083D" w:rsidRDefault="0018083D" w:rsidP="0018083D">
      <w:pPr>
        <w:spacing w:line="20" w:lineRule="atLeast"/>
        <w:jc w:val="center"/>
        <w:rPr>
          <w:b/>
          <w:bCs/>
        </w:rPr>
      </w:pPr>
      <w:r w:rsidRPr="00F46B89">
        <w:rPr>
          <w:b/>
          <w:bCs/>
        </w:rPr>
        <w:t>Совет Малиновского</w:t>
      </w:r>
      <w:r>
        <w:rPr>
          <w:b/>
          <w:bCs/>
        </w:rPr>
        <w:t xml:space="preserve"> </w:t>
      </w:r>
      <w:r w:rsidRPr="00F46B89">
        <w:rPr>
          <w:b/>
          <w:bCs/>
        </w:rPr>
        <w:t>сельского  поселения   РЕШИЛ:</w:t>
      </w:r>
    </w:p>
    <w:p w:rsidR="0018083D" w:rsidRPr="00F46B89" w:rsidRDefault="0018083D" w:rsidP="0018083D">
      <w:pPr>
        <w:spacing w:line="20" w:lineRule="atLeast"/>
        <w:jc w:val="center"/>
        <w:rPr>
          <w:b/>
          <w:bCs/>
        </w:rPr>
      </w:pPr>
    </w:p>
    <w:p w:rsidR="0018083D" w:rsidRPr="00770050" w:rsidRDefault="0018083D" w:rsidP="0018083D">
      <w:pPr>
        <w:spacing w:line="276" w:lineRule="auto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>1. Внести в решение</w:t>
      </w:r>
      <w:r>
        <w:rPr>
          <w:color w:val="000000" w:themeColor="text1"/>
        </w:rPr>
        <w:t xml:space="preserve"> Совета Малиновского сельского поселения </w:t>
      </w:r>
      <w:r w:rsidRPr="00770050">
        <w:rPr>
          <w:color w:val="000000" w:themeColor="text1"/>
        </w:rPr>
        <w:t xml:space="preserve"> </w:t>
      </w:r>
      <w:r>
        <w:rPr>
          <w:color w:val="000000" w:themeColor="text1"/>
        </w:rPr>
        <w:t>от 24.12.2021 № 28</w:t>
      </w:r>
      <w:r w:rsidRPr="00770050">
        <w:rPr>
          <w:color w:val="000000" w:themeColor="text1"/>
        </w:rPr>
        <w:t xml:space="preserve"> «Об утверждении </w:t>
      </w:r>
      <w:r w:rsidRPr="00770050">
        <w:rPr>
          <w:color w:val="000000"/>
        </w:rPr>
        <w:t xml:space="preserve">Положения о муниципальном </w:t>
      </w:r>
      <w:r w:rsidRPr="0074491A">
        <w:t>жилищном контроле на территории муниципального образования «</w:t>
      </w:r>
      <w:proofErr w:type="spellStart"/>
      <w:r>
        <w:t>Малиновско</w:t>
      </w:r>
      <w:r w:rsidRPr="0074491A">
        <w:t>е</w:t>
      </w:r>
      <w:proofErr w:type="spellEnd"/>
      <w:r w:rsidRPr="0074491A">
        <w:t xml:space="preserve"> сельское поселение»</w:t>
      </w:r>
      <w:r w:rsidRPr="00770050">
        <w:rPr>
          <w:color w:val="000000" w:themeColor="text1"/>
        </w:rPr>
        <w:t xml:space="preserve"> следующие изменения:</w:t>
      </w:r>
    </w:p>
    <w:p w:rsidR="0018083D" w:rsidRPr="00770050" w:rsidRDefault="0018083D" w:rsidP="0018083D">
      <w:pPr>
        <w:spacing w:line="276" w:lineRule="auto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 xml:space="preserve">1) пункт </w:t>
      </w:r>
      <w:r>
        <w:rPr>
          <w:color w:val="000000" w:themeColor="text1"/>
        </w:rPr>
        <w:t>42</w:t>
      </w:r>
      <w:r w:rsidRPr="00770050">
        <w:rPr>
          <w:color w:val="000000" w:themeColor="text1"/>
        </w:rPr>
        <w:t xml:space="preserve"> Положения </w:t>
      </w:r>
      <w:r w:rsidR="00AD697E" w:rsidRPr="00770050">
        <w:rPr>
          <w:color w:val="000000"/>
        </w:rPr>
        <w:t xml:space="preserve">о муниципальном </w:t>
      </w:r>
      <w:r w:rsidR="00AD697E" w:rsidRPr="0074491A">
        <w:t>жилищном контроле на территории муниципального образования «</w:t>
      </w:r>
      <w:proofErr w:type="spellStart"/>
      <w:r w:rsidR="00AD697E">
        <w:t>Малиновское</w:t>
      </w:r>
      <w:proofErr w:type="spellEnd"/>
      <w:r w:rsidR="00AD697E">
        <w:t xml:space="preserve"> сельское поселение</w:t>
      </w:r>
      <w:r>
        <w:t>»</w:t>
      </w:r>
      <w:r>
        <w:rPr>
          <w:color w:val="000000" w:themeColor="text1"/>
        </w:rPr>
        <w:t xml:space="preserve"> </w:t>
      </w:r>
      <w:r w:rsidR="00D76413">
        <w:rPr>
          <w:color w:val="000000" w:themeColor="text1"/>
        </w:rPr>
        <w:t>из</w:t>
      </w:r>
      <w:r w:rsidRPr="00770050">
        <w:rPr>
          <w:color w:val="000000" w:themeColor="text1"/>
        </w:rPr>
        <w:t>ложить в следующей редакции:</w:t>
      </w:r>
    </w:p>
    <w:p w:rsidR="0018083D" w:rsidRPr="00770050" w:rsidRDefault="0018083D" w:rsidP="0018083D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Ключевые и индикативные показатели </w:t>
      </w:r>
      <w:r w:rsidR="00AD697E" w:rsidRPr="00AD697E"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контроля указаны в приложении к настоящему Положению</w:t>
      </w: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8083D" w:rsidRPr="00770050" w:rsidRDefault="0018083D" w:rsidP="0018083D">
      <w:pPr>
        <w:spacing w:line="276" w:lineRule="auto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>2) дополнить Положение приложением в соответствии с приложением к настоящему решению.</w:t>
      </w:r>
    </w:p>
    <w:p w:rsidR="0057544A" w:rsidRDefault="0018083D" w:rsidP="0018083D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57544A">
        <w:rPr>
          <w:color w:val="000000" w:themeColor="text1"/>
        </w:rPr>
        <w:t xml:space="preserve">2. </w:t>
      </w:r>
      <w:r w:rsidR="0057544A">
        <w:rPr>
          <w:color w:val="000000" w:themeColor="text1"/>
        </w:rPr>
        <w:t>Опубликовать настоящее решение в Информационном бюллетене Малиновского сельского поселения и разместить на сайте муниципального образования «</w:t>
      </w:r>
      <w:proofErr w:type="spellStart"/>
      <w:r w:rsidR="0057544A">
        <w:rPr>
          <w:color w:val="000000" w:themeColor="text1"/>
        </w:rPr>
        <w:t>Малиновское</w:t>
      </w:r>
      <w:proofErr w:type="spellEnd"/>
      <w:r w:rsidR="0057544A">
        <w:rPr>
          <w:color w:val="000000" w:themeColor="text1"/>
        </w:rPr>
        <w:t xml:space="preserve"> сельское поселение»</w:t>
      </w:r>
    </w:p>
    <w:p w:rsidR="0018083D" w:rsidRPr="00770050" w:rsidRDefault="0057544A" w:rsidP="0018083D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18083D" w:rsidRPr="0057544A">
        <w:rPr>
          <w:color w:val="000000" w:themeColor="text1"/>
        </w:rPr>
        <w:t>Настоящее решение вступает в силу с 1 марта 2022 года.</w:t>
      </w:r>
    </w:p>
    <w:p w:rsidR="0018083D" w:rsidRPr="00555D09" w:rsidRDefault="0018083D" w:rsidP="0018083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18083D" w:rsidRDefault="0018083D" w:rsidP="0018083D">
      <w:pPr>
        <w:spacing w:line="20" w:lineRule="atLeast"/>
        <w:rPr>
          <w:iCs/>
        </w:rPr>
      </w:pPr>
      <w:bookmarkStart w:id="0" w:name="_GoBack"/>
      <w:bookmarkEnd w:id="0"/>
    </w:p>
    <w:p w:rsidR="0018083D" w:rsidRPr="00F46B89" w:rsidRDefault="0018083D" w:rsidP="0018083D">
      <w:pPr>
        <w:spacing w:line="20" w:lineRule="atLeast"/>
        <w:ind w:firstLine="540"/>
        <w:rPr>
          <w:iCs/>
        </w:rPr>
      </w:pPr>
      <w:r w:rsidRPr="00F46B89">
        <w:rPr>
          <w:iCs/>
        </w:rPr>
        <w:t>Председатель Совета</w:t>
      </w:r>
      <w:r w:rsidRPr="00F46B89">
        <w:rPr>
          <w:iCs/>
        </w:rPr>
        <w:tab/>
      </w:r>
      <w:r w:rsidRPr="00F46B89">
        <w:rPr>
          <w:iCs/>
        </w:rPr>
        <w:tab/>
        <w:t xml:space="preserve">  </w:t>
      </w:r>
    </w:p>
    <w:p w:rsidR="0018083D" w:rsidRPr="00F46B89" w:rsidRDefault="0018083D" w:rsidP="0018083D">
      <w:pPr>
        <w:spacing w:line="20" w:lineRule="atLeast"/>
        <w:ind w:firstLine="540"/>
        <w:rPr>
          <w:iCs/>
        </w:rPr>
      </w:pPr>
      <w:r>
        <w:rPr>
          <w:iCs/>
        </w:rPr>
        <w:t xml:space="preserve">Малиновского сельского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Ж.Ю. Аникина </w:t>
      </w:r>
    </w:p>
    <w:p w:rsidR="0018083D" w:rsidRDefault="0018083D" w:rsidP="0018083D">
      <w:pPr>
        <w:spacing w:line="20" w:lineRule="atLeast"/>
        <w:rPr>
          <w:iCs/>
        </w:rPr>
      </w:pPr>
    </w:p>
    <w:p w:rsidR="00D76413" w:rsidRPr="00F46B89" w:rsidRDefault="00D76413" w:rsidP="0018083D">
      <w:pPr>
        <w:spacing w:line="20" w:lineRule="atLeast"/>
        <w:rPr>
          <w:iCs/>
        </w:rPr>
      </w:pPr>
    </w:p>
    <w:p w:rsidR="0018083D" w:rsidRPr="00F46B89" w:rsidRDefault="0018083D" w:rsidP="0018083D">
      <w:pPr>
        <w:spacing w:line="20" w:lineRule="atLeast"/>
        <w:ind w:firstLine="540"/>
        <w:rPr>
          <w:iCs/>
        </w:rPr>
      </w:pPr>
      <w:r w:rsidRPr="00F46B89">
        <w:rPr>
          <w:iCs/>
        </w:rPr>
        <w:t>Глава поселения</w:t>
      </w:r>
    </w:p>
    <w:p w:rsidR="0018083D" w:rsidRDefault="0018083D" w:rsidP="0018083D">
      <w:pPr>
        <w:spacing w:line="20" w:lineRule="atLeast"/>
        <w:ind w:firstLine="540"/>
        <w:rPr>
          <w:iCs/>
        </w:rPr>
      </w:pPr>
      <w:r w:rsidRPr="00F46B89">
        <w:rPr>
          <w:iCs/>
        </w:rPr>
        <w:t>(Глава Администрации)</w:t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  <w:t xml:space="preserve">           </w:t>
      </w:r>
      <w:r>
        <w:rPr>
          <w:iCs/>
        </w:rPr>
        <w:t xml:space="preserve">       </w:t>
      </w:r>
      <w:r w:rsidRPr="00F46B89">
        <w:rPr>
          <w:iCs/>
        </w:rPr>
        <w:t xml:space="preserve"> </w:t>
      </w:r>
      <w:r>
        <w:rPr>
          <w:iCs/>
        </w:rPr>
        <w:t>И.В. Сухов</w:t>
      </w:r>
    </w:p>
    <w:p w:rsidR="00D76413" w:rsidRDefault="0018083D" w:rsidP="0018083D">
      <w:pPr>
        <w:rPr>
          <w:i/>
          <w:iCs/>
          <w:color w:val="000000" w:themeColor="text1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D76413" w:rsidRDefault="00D76413" w:rsidP="0018083D">
      <w:pPr>
        <w:rPr>
          <w:i/>
          <w:iCs/>
          <w:color w:val="000000" w:themeColor="text1"/>
          <w:sz w:val="18"/>
          <w:szCs w:val="18"/>
        </w:rPr>
      </w:pPr>
    </w:p>
    <w:p w:rsidR="00D76413" w:rsidRDefault="00D76413" w:rsidP="0018083D">
      <w:pPr>
        <w:rPr>
          <w:i/>
          <w:iCs/>
          <w:color w:val="000000" w:themeColor="text1"/>
          <w:sz w:val="18"/>
          <w:szCs w:val="18"/>
        </w:rPr>
        <w:sectPr w:rsidR="00D76413" w:rsidSect="00816A94">
          <w:headerReference w:type="even" r:id="rId6"/>
          <w:headerReference w:type="default" r:id="rId7"/>
          <w:headerReference w:type="firs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083D" w:rsidRPr="00DD0A8B" w:rsidRDefault="0018083D" w:rsidP="00D76413">
      <w:pPr>
        <w:jc w:val="right"/>
        <w:rPr>
          <w:i/>
          <w:iCs/>
          <w:color w:val="000000" w:themeColor="text1"/>
          <w:sz w:val="18"/>
          <w:szCs w:val="18"/>
        </w:rPr>
      </w:pPr>
      <w:r w:rsidRPr="00555D09">
        <w:rPr>
          <w:color w:val="000000" w:themeColor="text1"/>
        </w:rPr>
        <w:lastRenderedPageBreak/>
        <w:t xml:space="preserve">Приложение </w:t>
      </w:r>
    </w:p>
    <w:p w:rsidR="0018083D" w:rsidRDefault="0018083D" w:rsidP="00D76413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Pr="00555D09">
        <w:rPr>
          <w:color w:val="000000" w:themeColor="text1"/>
        </w:rPr>
        <w:t xml:space="preserve">решению </w:t>
      </w:r>
      <w:r>
        <w:rPr>
          <w:color w:val="000000" w:themeColor="text1"/>
        </w:rPr>
        <w:t>Совета</w:t>
      </w:r>
    </w:p>
    <w:p w:rsidR="0018083D" w:rsidRPr="00DD0A8B" w:rsidRDefault="0018083D" w:rsidP="00D76413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Малиновского сельского поселения </w:t>
      </w:r>
      <w:r w:rsidRPr="00770050">
        <w:rPr>
          <w:color w:val="000000" w:themeColor="text1"/>
        </w:rPr>
        <w:t xml:space="preserve"> </w:t>
      </w:r>
    </w:p>
    <w:p w:rsidR="0018083D" w:rsidRPr="00555D09" w:rsidRDefault="0018083D" w:rsidP="00D76413">
      <w:pPr>
        <w:ind w:left="4536"/>
        <w:jc w:val="right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892E40">
        <w:rPr>
          <w:color w:val="000000" w:themeColor="text1"/>
        </w:rPr>
        <w:t>25.02.2022</w:t>
      </w:r>
      <w:r w:rsidRPr="00555D09">
        <w:rPr>
          <w:color w:val="000000" w:themeColor="text1"/>
        </w:rPr>
        <w:t xml:space="preserve"> №</w:t>
      </w:r>
      <w:r w:rsidR="00892E40">
        <w:rPr>
          <w:color w:val="000000" w:themeColor="text1"/>
        </w:rPr>
        <w:t xml:space="preserve"> 3</w:t>
      </w:r>
    </w:p>
    <w:p w:rsidR="0018083D" w:rsidRPr="00555D09" w:rsidRDefault="0018083D" w:rsidP="00D76413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18083D" w:rsidRPr="00555D09" w:rsidRDefault="0018083D" w:rsidP="0018083D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76413" w:rsidRDefault="0018083D" w:rsidP="0018083D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D76413" w:rsidRDefault="0018083D" w:rsidP="0018083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C624D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C624DA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</w:p>
    <w:p w:rsidR="00D76413" w:rsidRDefault="0018083D" w:rsidP="0018083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24DA">
        <w:rPr>
          <w:rFonts w:ascii="Times New Roman" w:hAnsi="Times New Roman" w:cs="Times New Roman"/>
          <w:color w:val="000000"/>
          <w:sz w:val="24"/>
          <w:szCs w:val="24"/>
        </w:rPr>
        <w:t xml:space="preserve"> жилищном </w:t>
      </w:r>
      <w:proofErr w:type="gramStart"/>
      <w:r w:rsidRPr="00C624DA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C624D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</w:p>
    <w:p w:rsidR="00D76413" w:rsidRDefault="0018083D" w:rsidP="0018083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24D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18083D" w:rsidRPr="00C624DA" w:rsidRDefault="0018083D" w:rsidP="0018083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24D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24DA">
        <w:rPr>
          <w:rFonts w:ascii="Times New Roman" w:hAnsi="Times New Roman" w:cs="Times New Roman"/>
          <w:color w:val="000000"/>
          <w:sz w:val="24"/>
          <w:szCs w:val="24"/>
        </w:rPr>
        <w:t>Малиновское</w:t>
      </w:r>
      <w:proofErr w:type="spellEnd"/>
      <w:r w:rsidRPr="00C624D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 </w:t>
      </w:r>
    </w:p>
    <w:p w:rsidR="0018083D" w:rsidRPr="00555D09" w:rsidRDefault="0018083D" w:rsidP="0018083D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083D" w:rsidRDefault="0018083D" w:rsidP="0018083D">
      <w:pPr>
        <w:jc w:val="center"/>
        <w:rPr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 xml:space="preserve">показатели </w:t>
      </w:r>
    </w:p>
    <w:p w:rsidR="0018083D" w:rsidRPr="008C7617" w:rsidRDefault="0018083D" w:rsidP="0018083D">
      <w:pPr>
        <w:jc w:val="center"/>
        <w:rPr>
          <w:color w:val="000000"/>
          <w:sz w:val="28"/>
          <w:szCs w:val="28"/>
        </w:rPr>
      </w:pPr>
      <w:r w:rsidRPr="00862B4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муниципальном</w:t>
      </w:r>
      <w:proofErr w:type="gramEnd"/>
    </w:p>
    <w:p w:rsidR="0018083D" w:rsidRPr="008C7617" w:rsidRDefault="0018083D" w:rsidP="0018083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 w:rsidRPr="008C7617">
        <w:rPr>
          <w:color w:val="000000"/>
          <w:sz w:val="28"/>
          <w:szCs w:val="28"/>
        </w:rPr>
        <w:t xml:space="preserve"> «</w:t>
      </w:r>
      <w:proofErr w:type="spellStart"/>
      <w:r w:rsidRPr="008C7617">
        <w:rPr>
          <w:color w:val="000000"/>
          <w:sz w:val="28"/>
          <w:szCs w:val="28"/>
        </w:rPr>
        <w:t>Малиновское</w:t>
      </w:r>
      <w:proofErr w:type="spellEnd"/>
      <w:r w:rsidRPr="008C7617">
        <w:rPr>
          <w:color w:val="000000"/>
          <w:sz w:val="28"/>
          <w:szCs w:val="28"/>
        </w:rPr>
        <w:t xml:space="preserve"> сельское поселение»  </w:t>
      </w:r>
    </w:p>
    <w:p w:rsidR="0018083D" w:rsidRPr="008C7617" w:rsidRDefault="0018083D" w:rsidP="0018083D">
      <w:pPr>
        <w:jc w:val="center"/>
        <w:rPr>
          <w:color w:val="000000" w:themeColor="text1"/>
        </w:rPr>
      </w:pPr>
      <w:r w:rsidRPr="008C7617">
        <w:rPr>
          <w:color w:val="000000"/>
        </w:rPr>
        <w:t>(далее – муниципальный жилищный контроль)</w:t>
      </w: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474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3127"/>
        <w:gridCol w:w="1516"/>
        <w:gridCol w:w="15"/>
        <w:gridCol w:w="3714"/>
        <w:gridCol w:w="3119"/>
        <w:gridCol w:w="2268"/>
      </w:tblGrid>
      <w:tr w:rsidR="00555D09" w:rsidRPr="00555D09" w:rsidTr="00D76413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A9335F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729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D76413">
        <w:tc>
          <w:tcPr>
            <w:tcW w:w="14743" w:type="dxa"/>
            <w:gridSpan w:val="7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D76413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C762F7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3759" w:type="dxa"/>
            <w:gridSpan w:val="6"/>
            <w:shd w:val="clear" w:color="auto" w:fill="FFFFFF"/>
            <w:hideMark/>
          </w:tcPr>
          <w:p w:rsidR="003669CD" w:rsidRPr="00555D09" w:rsidRDefault="00C762F7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D76413">
        <w:tc>
          <w:tcPr>
            <w:tcW w:w="984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3127" w:type="dxa"/>
            <w:shd w:val="clear" w:color="auto" w:fill="FFFFFF"/>
            <w:hideMark/>
          </w:tcPr>
          <w:p w:rsidR="00D04CD4" w:rsidRPr="00555D09" w:rsidRDefault="00C10CCB" w:rsidP="00280F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</w:tc>
        <w:tc>
          <w:tcPr>
            <w:tcW w:w="1516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29" w:type="dxa"/>
            <w:gridSpan w:val="2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3119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:rsidTr="00D76413">
        <w:tc>
          <w:tcPr>
            <w:tcW w:w="14743" w:type="dxa"/>
            <w:gridSpan w:val="7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D76413">
        <w:tc>
          <w:tcPr>
            <w:tcW w:w="984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3759" w:type="dxa"/>
            <w:gridSpan w:val="6"/>
            <w:shd w:val="clear" w:color="auto" w:fill="FFFFFF"/>
          </w:tcPr>
          <w:p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7" w:type="dxa"/>
            <w:shd w:val="clear" w:color="auto" w:fill="FFFFFF"/>
          </w:tcPr>
          <w:p w:rsidR="00203771" w:rsidRPr="00E20E14" w:rsidRDefault="00203771" w:rsidP="00D76413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7" w:type="dxa"/>
            <w:shd w:val="clear" w:color="auto" w:fill="FFFFFF"/>
          </w:tcPr>
          <w:p w:rsidR="00203771" w:rsidRPr="00E20E14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D7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D76413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03771" w:rsidRPr="00555D09" w:rsidRDefault="00203771" w:rsidP="00D764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8A559B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7" w:type="dxa"/>
            <w:shd w:val="clear" w:color="auto" w:fill="FFFFFF"/>
          </w:tcPr>
          <w:p w:rsidR="00203771" w:rsidRPr="008A559B" w:rsidRDefault="00203771" w:rsidP="00D76413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предостережений о недопустимости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объявленных за отчетный период</w:t>
            </w:r>
          </w:p>
          <w:p w:rsidR="00203771" w:rsidRPr="008A559B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предостережений о недопустимости </w:t>
            </w:r>
            <w:r w:rsidRPr="006073C6">
              <w:rPr>
                <w:sz w:val="20"/>
                <w:szCs w:val="20"/>
              </w:rPr>
              <w:lastRenderedPageBreak/>
              <w:t>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964E2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D76413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203771" w:rsidRPr="00964E2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7" w:type="dxa"/>
            <w:shd w:val="clear" w:color="auto" w:fill="FFFFFF"/>
          </w:tcPr>
          <w:p w:rsidR="00203771" w:rsidRPr="00964E29" w:rsidRDefault="00203771" w:rsidP="00D7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3242BA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280FE0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D76413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1336B8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D76413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203771" w:rsidRPr="001336B8" w:rsidRDefault="00203771" w:rsidP="00D76413">
            <w:pPr>
              <w:rPr>
                <w:sz w:val="20"/>
                <w:szCs w:val="20"/>
              </w:rPr>
            </w:pPr>
          </w:p>
          <w:p w:rsidR="00203771" w:rsidRPr="001336B8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7" w:type="dxa"/>
            <w:shd w:val="clear" w:color="auto" w:fill="FFFFFF"/>
          </w:tcPr>
          <w:p w:rsidR="00203771" w:rsidRDefault="00203771" w:rsidP="00D76413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D7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D7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3127" w:type="dxa"/>
            <w:shd w:val="clear" w:color="auto" w:fill="FFFFFF"/>
          </w:tcPr>
          <w:p w:rsidR="00203771" w:rsidRPr="002A3662" w:rsidRDefault="00203771" w:rsidP="00280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3127" w:type="dxa"/>
            <w:shd w:val="clear" w:color="auto" w:fill="FFFFFF"/>
          </w:tcPr>
          <w:p w:rsidR="00203771" w:rsidRPr="0082511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3127" w:type="dxa"/>
            <w:shd w:val="clear" w:color="auto" w:fill="FFFFFF"/>
          </w:tcPr>
          <w:p w:rsidR="00203771" w:rsidRPr="0082511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лицами в судебном порядке, по которым принято решение об </w:t>
            </w:r>
            <w:r w:rsidRPr="002A3662">
              <w:rPr>
                <w:sz w:val="20"/>
                <w:szCs w:val="20"/>
              </w:rPr>
              <w:lastRenderedPageBreak/>
              <w:t>удовлетворении заявленных требований,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3127" w:type="dxa"/>
            <w:shd w:val="clear" w:color="auto" w:fill="FFFFFF"/>
          </w:tcPr>
          <w:p w:rsidR="00203771" w:rsidRPr="00825119" w:rsidRDefault="00203771" w:rsidP="00280F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FFFFF"/>
          </w:tcPr>
          <w:p w:rsidR="00203771" w:rsidRDefault="00203771" w:rsidP="00D76413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FA04B1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D76413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2"/>
            </w:r>
          </w:p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(ОТ), а также суммы затрат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D7641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D76413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D76413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D76413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714" w:type="dxa"/>
            <w:shd w:val="clear" w:color="auto" w:fill="FFFFFF"/>
          </w:tcPr>
          <w:p w:rsidR="00203771" w:rsidRPr="00555D09" w:rsidRDefault="00203771" w:rsidP="00280F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D7641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D76413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280FE0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14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D76413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27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714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3119" w:type="dxa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7C7D67" w:rsidRDefault="007C7D67">
      <w:pPr>
        <w:rPr>
          <w:color w:val="000000" w:themeColor="text1"/>
        </w:rPr>
      </w:pPr>
    </w:p>
    <w:sectPr w:rsidR="007C7D67" w:rsidSect="00816A94">
      <w:pgSz w:w="16840" w:h="11900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28" w:rsidRDefault="00AF3328" w:rsidP="00165F1F">
      <w:r>
        <w:separator/>
      </w:r>
    </w:p>
  </w:endnote>
  <w:endnote w:type="continuationSeparator" w:id="0">
    <w:p w:rsidR="00AF3328" w:rsidRDefault="00AF332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28" w:rsidRDefault="00AF3328" w:rsidP="00165F1F">
      <w:r>
        <w:separator/>
      </w:r>
    </w:p>
  </w:footnote>
  <w:footnote w:type="continuationSeparator" w:id="0">
    <w:p w:rsidR="00AF3328" w:rsidRDefault="00AF3328" w:rsidP="00165F1F">
      <w:r>
        <w:continuationSeparator/>
      </w:r>
    </w:p>
  </w:footnote>
  <w:footnote w:id="1">
    <w:p w:rsidR="00D76413" w:rsidRDefault="00D76413" w:rsidP="00203771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жилищного контроля.</w:t>
      </w:r>
    </w:p>
  </w:footnote>
  <w:footnote w:id="2">
    <w:p w:rsidR="00D76413" w:rsidRDefault="00D76413" w:rsidP="00203771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D76413" w:rsidRDefault="00FA04B1" w:rsidP="00D7641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D76413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D76413" w:rsidRDefault="00D764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D76413" w:rsidRDefault="00FA04B1" w:rsidP="00D76413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D76413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92E40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:rsidR="00D76413" w:rsidRDefault="00D7641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94" w:rsidRDefault="00816A94">
    <w:pPr>
      <w:pStyle w:val="a7"/>
      <w:jc w:val="center"/>
    </w:pPr>
  </w:p>
  <w:p w:rsidR="00D76413" w:rsidRDefault="00D7641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083D"/>
    <w:rsid w:val="00181535"/>
    <w:rsid w:val="00186D50"/>
    <w:rsid w:val="00191694"/>
    <w:rsid w:val="001A2CB4"/>
    <w:rsid w:val="001A4D1F"/>
    <w:rsid w:val="001E52E9"/>
    <w:rsid w:val="00203771"/>
    <w:rsid w:val="00274093"/>
    <w:rsid w:val="00280FE0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510191"/>
    <w:rsid w:val="00524F92"/>
    <w:rsid w:val="00544A44"/>
    <w:rsid w:val="00555D09"/>
    <w:rsid w:val="00563C1F"/>
    <w:rsid w:val="0057544A"/>
    <w:rsid w:val="0058100A"/>
    <w:rsid w:val="005B3716"/>
    <w:rsid w:val="005D5805"/>
    <w:rsid w:val="006660B7"/>
    <w:rsid w:val="006E1A57"/>
    <w:rsid w:val="006E4CC3"/>
    <w:rsid w:val="0070166A"/>
    <w:rsid w:val="00701A7F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16A94"/>
    <w:rsid w:val="008238AE"/>
    <w:rsid w:val="0082654A"/>
    <w:rsid w:val="00836BD7"/>
    <w:rsid w:val="0083759D"/>
    <w:rsid w:val="00847F51"/>
    <w:rsid w:val="00862B0E"/>
    <w:rsid w:val="0087287E"/>
    <w:rsid w:val="00884CA8"/>
    <w:rsid w:val="00892E40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335F"/>
    <w:rsid w:val="00AD2838"/>
    <w:rsid w:val="00AD4066"/>
    <w:rsid w:val="00AD697E"/>
    <w:rsid w:val="00AE38F3"/>
    <w:rsid w:val="00AF3328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76413"/>
    <w:rsid w:val="00DC158F"/>
    <w:rsid w:val="00DD1056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971D0"/>
    <w:rsid w:val="00FA04B1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18083D"/>
    <w:pPr>
      <w:tabs>
        <w:tab w:val="left" w:pos="6804"/>
      </w:tabs>
      <w:spacing w:before="360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8083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08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7</cp:revision>
  <cp:lastPrinted>2022-02-25T09:48:00Z</cp:lastPrinted>
  <dcterms:created xsi:type="dcterms:W3CDTF">2022-02-25T05:12:00Z</dcterms:created>
  <dcterms:modified xsi:type="dcterms:W3CDTF">2022-03-01T02:03:00Z</dcterms:modified>
</cp:coreProperties>
</file>